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4E" w:rsidRPr="009440FC" w:rsidRDefault="003D0F4E" w:rsidP="00ED141E">
      <w:pPr>
        <w:spacing w:before="120" w:after="120"/>
        <w:rPr>
          <w:rFonts w:cs="Arial"/>
        </w:rPr>
      </w:pPr>
    </w:p>
    <w:p w:rsidR="00DB29F6" w:rsidRPr="00DB29F6" w:rsidRDefault="00DB29F6" w:rsidP="00DB29F6">
      <w:pPr>
        <w:autoSpaceDE w:val="0"/>
        <w:autoSpaceDN w:val="0"/>
        <w:adjustRightInd w:val="0"/>
        <w:jc w:val="center"/>
        <w:rPr>
          <w:rFonts w:eastAsia="Batang" w:cs="Arial"/>
          <w:b/>
          <w:bCs/>
          <w:color w:val="000000"/>
          <w:lang w:eastAsia="ko-KR"/>
        </w:rPr>
      </w:pPr>
      <w:r w:rsidRPr="00DB29F6">
        <w:rPr>
          <w:rFonts w:eastAsia="Batang" w:cs="Arial"/>
          <w:b/>
          <w:bCs/>
          <w:color w:val="000000"/>
          <w:lang w:eastAsia="ko-KR"/>
        </w:rPr>
        <w:t>Multilaterale Vereinbarung M</w:t>
      </w:r>
      <w:r w:rsidR="00512CDD">
        <w:rPr>
          <w:rFonts w:eastAsia="Batang" w:cs="Arial"/>
          <w:b/>
          <w:bCs/>
          <w:color w:val="000000"/>
          <w:lang w:eastAsia="ko-KR"/>
        </w:rPr>
        <w:t>252</w:t>
      </w:r>
    </w:p>
    <w:p w:rsidR="00DB29F6" w:rsidRPr="00DB29F6" w:rsidRDefault="00DB29F6" w:rsidP="00DB29F6">
      <w:pPr>
        <w:autoSpaceDE w:val="0"/>
        <w:autoSpaceDN w:val="0"/>
        <w:adjustRightInd w:val="0"/>
        <w:jc w:val="center"/>
        <w:rPr>
          <w:rFonts w:eastAsia="Batang" w:cs="Arial"/>
          <w:bCs/>
          <w:color w:val="000000"/>
          <w:lang w:eastAsia="ko-KR"/>
        </w:rPr>
      </w:pPr>
    </w:p>
    <w:p w:rsidR="00DB29F6" w:rsidRPr="00DB29F6" w:rsidRDefault="00DB29F6" w:rsidP="00DB29F6">
      <w:pPr>
        <w:tabs>
          <w:tab w:val="left" w:pos="1260"/>
        </w:tabs>
        <w:spacing w:line="360" w:lineRule="auto"/>
        <w:ind w:left="380" w:hanging="380"/>
        <w:jc w:val="center"/>
        <w:rPr>
          <w:rFonts w:eastAsia="Batang" w:cs="Arial"/>
          <w:color w:val="000000"/>
          <w:lang w:eastAsia="ko-KR"/>
        </w:rPr>
      </w:pPr>
      <w:r w:rsidRPr="00DB29F6">
        <w:rPr>
          <w:rFonts w:eastAsia="Batang" w:cs="Arial"/>
          <w:color w:val="000000"/>
          <w:lang w:eastAsia="ko-KR"/>
        </w:rPr>
        <w:t>nach Abschnitt 1.5.1 ADR</w:t>
      </w:r>
    </w:p>
    <w:p w:rsidR="00512CDD" w:rsidRPr="00512CDD" w:rsidRDefault="00DB29F6" w:rsidP="00512CDD">
      <w:pPr>
        <w:tabs>
          <w:tab w:val="left" w:pos="1260"/>
        </w:tabs>
        <w:spacing w:line="360" w:lineRule="auto"/>
        <w:ind w:left="380" w:hanging="380"/>
        <w:jc w:val="center"/>
        <w:rPr>
          <w:rFonts w:eastAsia="Batang" w:cs="Arial"/>
          <w:color w:val="000000"/>
          <w:lang w:eastAsia="ko-KR"/>
        </w:rPr>
      </w:pPr>
      <w:r w:rsidRPr="00DB29F6">
        <w:rPr>
          <w:rFonts w:eastAsia="Batang" w:cs="Arial"/>
          <w:color w:val="000000"/>
          <w:lang w:eastAsia="ko-KR"/>
        </w:rPr>
        <w:t xml:space="preserve">über </w:t>
      </w:r>
      <w:r w:rsidR="00512CDD" w:rsidRPr="00512CDD">
        <w:rPr>
          <w:rFonts w:eastAsia="Batang" w:cs="Arial"/>
          <w:color w:val="000000"/>
          <w:lang w:eastAsia="ko-KR"/>
        </w:rPr>
        <w:t xml:space="preserve">die Beförderung beschädigter Lithiumbatterien </w:t>
      </w:r>
    </w:p>
    <w:p w:rsidR="00512CDD" w:rsidRPr="00512CDD" w:rsidRDefault="00512CDD" w:rsidP="00512CDD">
      <w:pPr>
        <w:tabs>
          <w:tab w:val="left" w:pos="1260"/>
        </w:tabs>
        <w:spacing w:line="360" w:lineRule="auto"/>
        <w:ind w:left="380" w:hanging="380"/>
        <w:jc w:val="center"/>
        <w:rPr>
          <w:rFonts w:eastAsia="Batang" w:cs="Arial"/>
          <w:color w:val="000000"/>
          <w:lang w:eastAsia="ko-KR"/>
        </w:rPr>
      </w:pPr>
      <w:r w:rsidRPr="00512CDD">
        <w:rPr>
          <w:rFonts w:eastAsia="Batang" w:cs="Arial"/>
          <w:color w:val="000000"/>
          <w:lang w:eastAsia="ko-KR"/>
        </w:rPr>
        <w:t>(UN 3090, UN 3091, UN 3480 und UN 3481)</w:t>
      </w:r>
    </w:p>
    <w:p w:rsidR="00DB29F6" w:rsidRPr="00DB29F6" w:rsidRDefault="00DB29F6" w:rsidP="00B84E5B">
      <w:pPr>
        <w:tabs>
          <w:tab w:val="left" w:pos="1260"/>
        </w:tabs>
        <w:spacing w:line="360" w:lineRule="auto"/>
        <w:ind w:left="380" w:hanging="380"/>
        <w:jc w:val="center"/>
        <w:rPr>
          <w:rFonts w:eastAsia="Batang" w:cs="Arial"/>
          <w:bCs/>
          <w:color w:val="000000"/>
          <w:lang w:eastAsia="ko-KR"/>
        </w:rPr>
      </w:pPr>
    </w:p>
    <w:p w:rsidR="00DB29F6" w:rsidRPr="00DB29F6" w:rsidRDefault="00DB29F6" w:rsidP="00DB29F6">
      <w:pPr>
        <w:ind w:left="440" w:hanging="440"/>
        <w:rPr>
          <w:rFonts w:eastAsia="Batang" w:cs="Arial"/>
          <w:color w:val="000000"/>
          <w:lang w:eastAsia="ko-KR"/>
        </w:rPr>
      </w:pPr>
    </w:p>
    <w:p w:rsidR="00512CDD" w:rsidRPr="00512CDD" w:rsidRDefault="00512CDD" w:rsidP="00512CDD">
      <w:pPr>
        <w:tabs>
          <w:tab w:val="left" w:pos="1260"/>
        </w:tabs>
        <w:spacing w:line="360" w:lineRule="auto"/>
        <w:ind w:left="426" w:hanging="380"/>
        <w:jc w:val="both"/>
        <w:rPr>
          <w:rFonts w:eastAsia="Batang" w:cs="Arial"/>
          <w:color w:val="000000"/>
          <w:lang w:eastAsia="ko-KR"/>
        </w:rPr>
      </w:pPr>
      <w:r w:rsidRPr="00512CDD">
        <w:rPr>
          <w:rFonts w:eastAsia="Batang" w:cs="Arial"/>
          <w:color w:val="000000"/>
          <w:lang w:eastAsia="ko-KR"/>
        </w:rPr>
        <w:t>(1)</w:t>
      </w:r>
      <w:r w:rsidRPr="00512CDD">
        <w:rPr>
          <w:rFonts w:eastAsia="Batang" w:cs="Arial"/>
          <w:color w:val="000000"/>
          <w:lang w:eastAsia="ko-KR"/>
        </w:rPr>
        <w:tab/>
        <w:t>Abweichend von den Vorschriften des Kapitels 3.3 des ADR ist die Beförderung beschädigter Lithiumbatterien, die nicht gemäß Sondervorschrift 636 zur Entsorgung gesammelt und zur Beförderung aufgegeben werden, nur unter den von der zuständigen Behörde einer Vertragspartei des ADR festgelegten zusätzlichen Bedingungen zugelassen, wobei diese zuständige Behörde auch eine von der zuständigen Behörde eines Landes, das keine Vertragspartei des ADR ist, erteilte Genehmigung anerkennen kann, vorausgesetzt, diese wurde in Übereinstimmung mit den gemäß dem ADR anwendbaren Verfahren erteilt.</w:t>
      </w:r>
    </w:p>
    <w:p w:rsidR="00512CDD" w:rsidRPr="00512CDD" w:rsidRDefault="00512CDD" w:rsidP="00512CDD">
      <w:pPr>
        <w:tabs>
          <w:tab w:val="left" w:pos="1260"/>
        </w:tabs>
        <w:spacing w:line="360" w:lineRule="auto"/>
        <w:ind w:left="380" w:hanging="380"/>
        <w:jc w:val="both"/>
        <w:rPr>
          <w:rFonts w:eastAsia="Batang" w:cs="Arial"/>
          <w:color w:val="000000"/>
          <w:lang w:eastAsia="ko-KR"/>
        </w:rPr>
      </w:pPr>
    </w:p>
    <w:p w:rsidR="00512CDD" w:rsidRPr="00512CDD" w:rsidRDefault="00512CDD" w:rsidP="00512CDD">
      <w:pPr>
        <w:tabs>
          <w:tab w:val="left" w:pos="851"/>
        </w:tabs>
        <w:spacing w:line="360" w:lineRule="auto"/>
        <w:ind w:left="426"/>
        <w:jc w:val="both"/>
        <w:rPr>
          <w:rFonts w:eastAsia="Batang" w:cs="Arial"/>
          <w:color w:val="000000"/>
          <w:lang w:eastAsia="ko-KR"/>
        </w:rPr>
      </w:pPr>
      <w:r w:rsidRPr="00512CDD">
        <w:rPr>
          <w:rFonts w:eastAsia="Batang" w:cs="Arial"/>
          <w:color w:val="000000"/>
          <w:lang w:eastAsia="ko-KR"/>
        </w:rPr>
        <w:t>Es dürfen nur von der zuständigen Behörde für diese Güter zugelassene Verpackungsmethoden angewendet werden.</w:t>
      </w:r>
    </w:p>
    <w:p w:rsidR="00512CDD" w:rsidRPr="00512CDD" w:rsidRDefault="00512CDD" w:rsidP="00512CDD">
      <w:pPr>
        <w:tabs>
          <w:tab w:val="left" w:pos="851"/>
        </w:tabs>
        <w:spacing w:line="360" w:lineRule="auto"/>
        <w:ind w:left="426"/>
        <w:jc w:val="both"/>
        <w:rPr>
          <w:rFonts w:eastAsia="Batang" w:cs="Arial"/>
          <w:color w:val="000000"/>
          <w:lang w:eastAsia="ko-KR"/>
        </w:rPr>
      </w:pPr>
    </w:p>
    <w:p w:rsidR="00512CDD" w:rsidRPr="00512CDD" w:rsidRDefault="00512CDD" w:rsidP="00512CDD">
      <w:pPr>
        <w:tabs>
          <w:tab w:val="left" w:pos="851"/>
        </w:tabs>
        <w:spacing w:line="360" w:lineRule="auto"/>
        <w:ind w:left="426"/>
        <w:jc w:val="both"/>
        <w:rPr>
          <w:rFonts w:eastAsia="Batang" w:cs="Arial"/>
          <w:color w:val="000000"/>
          <w:lang w:eastAsia="ko-KR"/>
        </w:rPr>
      </w:pPr>
      <w:r w:rsidRPr="00512CDD">
        <w:rPr>
          <w:rFonts w:eastAsia="Batang" w:cs="Arial"/>
          <w:color w:val="000000"/>
          <w:lang w:eastAsia="ko-KR"/>
        </w:rPr>
        <w:t>Die zuständige Behörde kann eine strengere Beförderungskategorie oder einen strengeren Tunnelbeschränkungscode festlegen, die/der in die Genehmigung der zuständigen Behörde aufgenommen werden muss.</w:t>
      </w:r>
    </w:p>
    <w:p w:rsidR="00512CDD" w:rsidRPr="00512CDD" w:rsidRDefault="00512CDD" w:rsidP="00512CDD">
      <w:pPr>
        <w:tabs>
          <w:tab w:val="left" w:pos="851"/>
        </w:tabs>
        <w:spacing w:line="360" w:lineRule="auto"/>
        <w:ind w:left="426"/>
        <w:jc w:val="both"/>
        <w:rPr>
          <w:rFonts w:eastAsia="Batang" w:cs="Arial"/>
          <w:color w:val="000000"/>
          <w:lang w:eastAsia="ko-KR"/>
        </w:rPr>
      </w:pPr>
    </w:p>
    <w:p w:rsidR="00512CDD" w:rsidRPr="00512CDD" w:rsidRDefault="00512CDD" w:rsidP="00512CDD">
      <w:pPr>
        <w:tabs>
          <w:tab w:val="left" w:pos="851"/>
        </w:tabs>
        <w:spacing w:line="360" w:lineRule="auto"/>
        <w:ind w:left="426"/>
        <w:jc w:val="both"/>
        <w:rPr>
          <w:rFonts w:eastAsia="Batang" w:cs="Arial"/>
          <w:color w:val="000000"/>
          <w:lang w:eastAsia="ko-KR"/>
        </w:rPr>
      </w:pPr>
      <w:r w:rsidRPr="00512CDD">
        <w:rPr>
          <w:rFonts w:eastAsia="Batang" w:cs="Arial"/>
          <w:color w:val="000000"/>
          <w:lang w:eastAsia="ko-KR"/>
        </w:rPr>
        <w:t>Jeder Sendung muss eine Kopie der Genehmigung der zuständigen Behörde beigefügt werden oder das Beförderungspapier muss einen Verweis auf die Genehmigung der zuständigen Behörde enthalten.</w:t>
      </w:r>
    </w:p>
    <w:p w:rsidR="00512CDD" w:rsidRPr="00512CDD" w:rsidRDefault="00512CDD" w:rsidP="00512CDD">
      <w:pPr>
        <w:tabs>
          <w:tab w:val="left" w:pos="851"/>
        </w:tabs>
        <w:spacing w:line="360" w:lineRule="auto"/>
        <w:ind w:left="426"/>
        <w:jc w:val="both"/>
        <w:rPr>
          <w:rFonts w:eastAsia="Batang" w:cs="Arial"/>
          <w:color w:val="000000"/>
          <w:lang w:eastAsia="ko-KR"/>
        </w:rPr>
      </w:pPr>
    </w:p>
    <w:p w:rsidR="00512CDD" w:rsidRPr="00512CDD" w:rsidRDefault="00512CDD" w:rsidP="00512CDD">
      <w:pPr>
        <w:tabs>
          <w:tab w:val="left" w:pos="851"/>
        </w:tabs>
        <w:spacing w:line="360" w:lineRule="auto"/>
        <w:ind w:left="426"/>
        <w:jc w:val="both"/>
        <w:rPr>
          <w:rFonts w:eastAsia="Batang" w:cs="Arial"/>
          <w:color w:val="000000"/>
          <w:lang w:eastAsia="ko-KR"/>
        </w:rPr>
      </w:pPr>
      <w:r w:rsidRPr="00512CDD">
        <w:rPr>
          <w:rFonts w:eastAsia="Batang" w:cs="Arial"/>
          <w:color w:val="000000"/>
          <w:lang w:eastAsia="ko-KR"/>
        </w:rPr>
        <w:t>Die zuständige Behörde der Vertragspartei des ADR, die eine Genehmigung gemäß dieser Sondervorschrift erteilt hat, muss das Sekretariat der UNECE zum Zwecke der Bekanntmachung dieser Informationen über dessen Website unterrichten.</w:t>
      </w:r>
    </w:p>
    <w:p w:rsidR="00512CDD" w:rsidRPr="00512CDD" w:rsidRDefault="00512CDD" w:rsidP="00512CDD">
      <w:pPr>
        <w:tabs>
          <w:tab w:val="left" w:pos="851"/>
        </w:tabs>
        <w:spacing w:line="360" w:lineRule="auto"/>
        <w:ind w:left="426"/>
        <w:jc w:val="both"/>
        <w:rPr>
          <w:rFonts w:eastAsia="Batang" w:cs="Arial"/>
          <w:color w:val="000000"/>
          <w:lang w:eastAsia="ko-KR"/>
        </w:rPr>
      </w:pPr>
    </w:p>
    <w:p w:rsidR="00512CDD" w:rsidRPr="00512CDD" w:rsidRDefault="00512CDD" w:rsidP="00512CDD">
      <w:pPr>
        <w:tabs>
          <w:tab w:val="left" w:pos="851"/>
        </w:tabs>
        <w:spacing w:line="360" w:lineRule="auto"/>
        <w:ind w:left="426"/>
        <w:jc w:val="both"/>
        <w:rPr>
          <w:rFonts w:eastAsia="Batang" w:cs="Arial"/>
          <w:color w:val="000000"/>
          <w:lang w:eastAsia="ko-KR"/>
        </w:rPr>
      </w:pPr>
      <w:r w:rsidRPr="00512CDD">
        <w:rPr>
          <w:rFonts w:eastAsia="Batang" w:cs="Arial"/>
          <w:color w:val="000000"/>
          <w:lang w:eastAsia="ko-KR"/>
        </w:rPr>
        <w:lastRenderedPageBreak/>
        <w:t>Empfehlungen der Vereinten Nationen für technische Anforderungen an die Beförderung beschädigter Lithiumbatterien müssen bei der Erteilung einer Genehmigung berücksichtigt werden.</w:t>
      </w:r>
    </w:p>
    <w:p w:rsidR="00512CDD" w:rsidRPr="00512CDD" w:rsidRDefault="00512CDD" w:rsidP="00512CDD">
      <w:pPr>
        <w:tabs>
          <w:tab w:val="left" w:pos="851"/>
        </w:tabs>
        <w:spacing w:line="360" w:lineRule="auto"/>
        <w:ind w:left="426"/>
        <w:jc w:val="both"/>
        <w:rPr>
          <w:rFonts w:eastAsia="Batang" w:cs="Arial"/>
          <w:color w:val="000000"/>
          <w:lang w:eastAsia="ko-KR"/>
        </w:rPr>
      </w:pPr>
      <w:r w:rsidRPr="00512CDD">
        <w:rPr>
          <w:rFonts w:eastAsia="Batang" w:cs="Arial"/>
          <w:color w:val="000000"/>
          <w:lang w:eastAsia="ko-KR"/>
        </w:rPr>
        <w:t>Zu beschädigten Lithiumbatterien zählen insbesondere</w:t>
      </w:r>
    </w:p>
    <w:p w:rsidR="00512CDD" w:rsidRPr="00512CDD" w:rsidRDefault="00512CDD" w:rsidP="00512CDD">
      <w:pPr>
        <w:numPr>
          <w:ilvl w:val="0"/>
          <w:numId w:val="18"/>
        </w:numPr>
        <w:tabs>
          <w:tab w:val="left" w:pos="851"/>
        </w:tabs>
        <w:spacing w:line="360" w:lineRule="auto"/>
        <w:ind w:left="426" w:firstLine="0"/>
        <w:jc w:val="both"/>
        <w:rPr>
          <w:rFonts w:eastAsia="Batang" w:cs="Arial"/>
          <w:color w:val="000000"/>
          <w:lang w:eastAsia="ko-KR"/>
        </w:rPr>
      </w:pPr>
      <w:r w:rsidRPr="00512CDD">
        <w:rPr>
          <w:rFonts w:eastAsia="Batang" w:cs="Arial"/>
          <w:color w:val="000000"/>
          <w:lang w:eastAsia="ko-KR"/>
        </w:rPr>
        <w:t>Batterien, bei denen der Hersteller Defekte festgestellt hat, die die Sicherheit beinträchtigen</w:t>
      </w:r>
    </w:p>
    <w:p w:rsidR="00512CDD" w:rsidRPr="00512CDD" w:rsidRDefault="00512CDD" w:rsidP="00512CDD">
      <w:pPr>
        <w:numPr>
          <w:ilvl w:val="0"/>
          <w:numId w:val="18"/>
        </w:numPr>
        <w:tabs>
          <w:tab w:val="left" w:pos="851"/>
        </w:tabs>
        <w:spacing w:line="360" w:lineRule="auto"/>
        <w:ind w:left="851" w:hanging="425"/>
        <w:jc w:val="both"/>
        <w:rPr>
          <w:rFonts w:eastAsia="Batang" w:cs="Arial"/>
          <w:color w:val="000000"/>
          <w:lang w:eastAsia="ko-KR"/>
        </w:rPr>
      </w:pPr>
      <w:r w:rsidRPr="00512CDD">
        <w:rPr>
          <w:rFonts w:eastAsia="Batang" w:cs="Arial"/>
          <w:color w:val="000000"/>
          <w:lang w:eastAsia="ko-KR"/>
        </w:rPr>
        <w:t>Batterien mit beschädigten oder in erheblichem Maße verformten Gehäusen</w:t>
      </w:r>
    </w:p>
    <w:p w:rsidR="00512CDD" w:rsidRPr="00512CDD" w:rsidRDefault="00512CDD" w:rsidP="00512CDD">
      <w:pPr>
        <w:numPr>
          <w:ilvl w:val="0"/>
          <w:numId w:val="18"/>
        </w:numPr>
        <w:tabs>
          <w:tab w:val="left" w:pos="851"/>
        </w:tabs>
        <w:spacing w:line="360" w:lineRule="auto"/>
        <w:ind w:left="426" w:firstLine="0"/>
        <w:jc w:val="both"/>
        <w:rPr>
          <w:rFonts w:eastAsia="Batang" w:cs="Arial"/>
          <w:color w:val="000000"/>
          <w:lang w:eastAsia="ko-KR"/>
        </w:rPr>
      </w:pPr>
      <w:r w:rsidRPr="00512CDD">
        <w:rPr>
          <w:rFonts w:eastAsia="Batang" w:cs="Arial"/>
          <w:color w:val="000000"/>
          <w:lang w:eastAsia="ko-KR"/>
        </w:rPr>
        <w:t>auslaufende Batterien oder Batterien mit Gasaustritt oder</w:t>
      </w:r>
    </w:p>
    <w:p w:rsidR="00512CDD" w:rsidRPr="00512CDD" w:rsidRDefault="00512CDD" w:rsidP="00512CDD">
      <w:pPr>
        <w:numPr>
          <w:ilvl w:val="0"/>
          <w:numId w:val="18"/>
        </w:numPr>
        <w:tabs>
          <w:tab w:val="left" w:pos="851"/>
        </w:tabs>
        <w:spacing w:line="360" w:lineRule="auto"/>
        <w:ind w:left="851" w:hanging="425"/>
        <w:jc w:val="both"/>
        <w:rPr>
          <w:rFonts w:eastAsia="Batang" w:cs="Arial"/>
          <w:color w:val="000000"/>
          <w:lang w:eastAsia="ko-KR"/>
        </w:rPr>
      </w:pPr>
      <w:r w:rsidRPr="00512CDD">
        <w:rPr>
          <w:rFonts w:eastAsia="Batang" w:cs="Arial"/>
          <w:color w:val="000000"/>
          <w:lang w:eastAsia="ko-KR"/>
        </w:rPr>
        <w:t>Batterien mit Mängeln, die vor der Beförderung zum Ort der Analyse nicht diagnostiziert werden können.</w:t>
      </w:r>
    </w:p>
    <w:p w:rsidR="00512CDD" w:rsidRPr="00512CDD" w:rsidRDefault="00512CDD" w:rsidP="00512CDD">
      <w:pPr>
        <w:tabs>
          <w:tab w:val="left" w:pos="851"/>
        </w:tabs>
        <w:spacing w:line="360" w:lineRule="auto"/>
        <w:ind w:left="426"/>
        <w:jc w:val="both"/>
        <w:rPr>
          <w:rFonts w:eastAsia="Batang" w:cs="Arial"/>
          <w:color w:val="000000"/>
          <w:lang w:eastAsia="ko-KR"/>
        </w:rPr>
      </w:pPr>
    </w:p>
    <w:p w:rsidR="00512CDD" w:rsidRPr="00512CDD" w:rsidRDefault="00512CDD" w:rsidP="00512CDD">
      <w:pPr>
        <w:tabs>
          <w:tab w:val="left" w:pos="851"/>
        </w:tabs>
        <w:spacing w:line="360" w:lineRule="auto"/>
        <w:ind w:left="426"/>
        <w:jc w:val="both"/>
        <w:rPr>
          <w:rFonts w:eastAsia="Batang" w:cs="Arial"/>
          <w:color w:val="000000"/>
          <w:lang w:eastAsia="ko-KR"/>
        </w:rPr>
      </w:pPr>
    </w:p>
    <w:p w:rsidR="00512CDD" w:rsidRPr="00512CDD" w:rsidRDefault="00512CDD" w:rsidP="00512CDD">
      <w:pPr>
        <w:tabs>
          <w:tab w:val="left" w:pos="1260"/>
        </w:tabs>
        <w:spacing w:line="360" w:lineRule="auto"/>
        <w:ind w:left="426" w:hanging="426"/>
        <w:jc w:val="both"/>
        <w:rPr>
          <w:rFonts w:eastAsia="Batang" w:cs="Arial"/>
          <w:color w:val="000000"/>
          <w:lang w:eastAsia="ko-KR"/>
        </w:rPr>
      </w:pPr>
      <w:r w:rsidRPr="00512CDD">
        <w:rPr>
          <w:rFonts w:eastAsia="Batang" w:cs="Arial"/>
          <w:color w:val="000000"/>
          <w:lang w:eastAsia="ko-KR"/>
        </w:rPr>
        <w:t>(2)</w:t>
      </w:r>
      <w:r w:rsidRPr="00512CDD">
        <w:rPr>
          <w:rFonts w:eastAsia="Batang" w:cs="Arial"/>
          <w:color w:val="000000"/>
          <w:lang w:eastAsia="ko-KR"/>
        </w:rPr>
        <w:tab/>
        <w:t>Zusätzlich zu den vorgeschriebenen Angaben hat der Absender im Beförderungspapier zu vermerken:</w:t>
      </w:r>
    </w:p>
    <w:p w:rsidR="00512CDD" w:rsidRPr="00512CDD" w:rsidRDefault="00512CDD" w:rsidP="00512CDD">
      <w:pPr>
        <w:tabs>
          <w:tab w:val="left" w:pos="1260"/>
        </w:tabs>
        <w:spacing w:line="360" w:lineRule="auto"/>
        <w:ind w:left="380" w:hanging="380"/>
        <w:jc w:val="both"/>
        <w:rPr>
          <w:rFonts w:eastAsia="Batang" w:cs="Arial"/>
          <w:color w:val="000000"/>
          <w:lang w:eastAsia="ko-KR"/>
        </w:rPr>
      </w:pPr>
      <w:r w:rsidRPr="00512CDD">
        <w:rPr>
          <w:rFonts w:eastAsia="Batang" w:cs="Arial"/>
          <w:color w:val="000000"/>
          <w:lang w:eastAsia="ko-KR"/>
        </w:rPr>
        <w:tab/>
        <w:t>„ Beförderung vereinbart gemäß Abschnitt 1.5.1 des ADR (M252)“.</w:t>
      </w:r>
    </w:p>
    <w:p w:rsidR="00512CDD" w:rsidRPr="00512CDD" w:rsidRDefault="00512CDD" w:rsidP="00512CDD">
      <w:pPr>
        <w:tabs>
          <w:tab w:val="left" w:pos="1260"/>
        </w:tabs>
        <w:spacing w:line="360" w:lineRule="auto"/>
        <w:ind w:left="380" w:hanging="380"/>
        <w:jc w:val="both"/>
        <w:rPr>
          <w:rFonts w:eastAsia="Batang" w:cs="Arial"/>
          <w:color w:val="000000"/>
          <w:lang w:eastAsia="ko-KR"/>
        </w:rPr>
      </w:pPr>
    </w:p>
    <w:p w:rsidR="00512CDD" w:rsidRPr="00512CDD" w:rsidRDefault="00512CDD" w:rsidP="00512CDD">
      <w:pPr>
        <w:tabs>
          <w:tab w:val="left" w:pos="1260"/>
        </w:tabs>
        <w:spacing w:line="360" w:lineRule="auto"/>
        <w:ind w:left="380" w:hanging="380"/>
        <w:jc w:val="both"/>
        <w:rPr>
          <w:rFonts w:eastAsia="Batang" w:cs="Arial"/>
          <w:color w:val="000000"/>
          <w:lang w:eastAsia="ko-KR"/>
        </w:rPr>
      </w:pPr>
    </w:p>
    <w:p w:rsidR="000D1C2A" w:rsidRPr="001E72F9" w:rsidRDefault="00512CDD" w:rsidP="001E72F9">
      <w:pPr>
        <w:tabs>
          <w:tab w:val="left" w:pos="1260"/>
        </w:tabs>
        <w:spacing w:line="360" w:lineRule="auto"/>
        <w:ind w:left="426" w:hanging="426"/>
        <w:jc w:val="both"/>
        <w:rPr>
          <w:rFonts w:eastAsia="Batang" w:cs="Arial"/>
          <w:color w:val="000000"/>
          <w:lang w:eastAsia="ko-KR"/>
        </w:rPr>
      </w:pPr>
      <w:r w:rsidRPr="00512CDD">
        <w:rPr>
          <w:rFonts w:eastAsia="Batang" w:cs="Arial"/>
          <w:color w:val="000000"/>
          <w:lang w:eastAsia="ko-KR"/>
        </w:rPr>
        <w:t xml:space="preserve"> (3)</w:t>
      </w:r>
      <w:r w:rsidRPr="00512CDD">
        <w:rPr>
          <w:rFonts w:eastAsia="Batang" w:cs="Arial"/>
          <w:color w:val="000000"/>
          <w:lang w:eastAsia="ko-KR"/>
        </w:rPr>
        <w:tab/>
        <w:t>Diese Vereinbarung gilt bis zum 31. Dezember 2012 für Beförderungen in den Hoheitsgebieten der ADR-Vertragsparteien, die diese Vereinbarung unterzeichnet haben. Wird sie vor diesem Zeitpunkt von einem der Unterzeichner widerrufen, so gilt sie bis zum vorgenannten Zeitpunkt nur für Beförderungen in den Hoheitsgebieten derjenigen ADR-Vertragsparteien, die diese Vereinbarung unterzeichnet und nicht widerrufen haben.</w:t>
      </w:r>
      <w:bookmarkStart w:id="0" w:name="_GoBack"/>
      <w:bookmarkEnd w:id="0"/>
    </w:p>
    <w:sectPr w:rsidR="000D1C2A" w:rsidRPr="001E72F9" w:rsidSect="009440FC">
      <w:pgSz w:w="11904" w:h="16836"/>
      <w:pgMar w:top="1417" w:right="1131" w:bottom="1134"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6C2"/>
    <w:multiLevelType w:val="hybridMultilevel"/>
    <w:tmpl w:val="7CB49246"/>
    <w:lvl w:ilvl="0" w:tplc="47DC1AE0">
      <w:start w:val="1"/>
      <w:numFmt w:val="lowerLetter"/>
      <w:lvlText w:val="(%1)"/>
      <w:lvlJc w:val="left"/>
      <w:pPr>
        <w:tabs>
          <w:tab w:val="num" w:pos="1776"/>
        </w:tabs>
        <w:ind w:left="1776" w:hanging="708"/>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
    <w:nsid w:val="02D97F69"/>
    <w:multiLevelType w:val="hybridMultilevel"/>
    <w:tmpl w:val="7BB67C48"/>
    <w:lvl w:ilvl="0" w:tplc="47DC1AE0">
      <w:start w:val="1"/>
      <w:numFmt w:val="lowerLetter"/>
      <w:lvlText w:val="(%1)"/>
      <w:lvlJc w:val="left"/>
      <w:pPr>
        <w:tabs>
          <w:tab w:val="num" w:pos="2136"/>
        </w:tabs>
        <w:ind w:left="2136" w:hanging="708"/>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
    <w:nsid w:val="0B283474"/>
    <w:multiLevelType w:val="hybridMultilevel"/>
    <w:tmpl w:val="044C197C"/>
    <w:lvl w:ilvl="0" w:tplc="47DC1AE0">
      <w:start w:val="1"/>
      <w:numFmt w:val="lowerLetter"/>
      <w:lvlText w:val="(%1)"/>
      <w:lvlJc w:val="left"/>
      <w:pPr>
        <w:tabs>
          <w:tab w:val="num" w:pos="1416"/>
        </w:tabs>
        <w:ind w:left="1416" w:hanging="70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CDC150E"/>
    <w:multiLevelType w:val="hybridMultilevel"/>
    <w:tmpl w:val="A7D8B596"/>
    <w:lvl w:ilvl="0" w:tplc="6DF25768">
      <w:start w:val="4"/>
      <w:numFmt w:val="bullet"/>
      <w:lvlText w:val="-"/>
      <w:lvlJc w:val="left"/>
      <w:pPr>
        <w:tabs>
          <w:tab w:val="num" w:pos="1416"/>
        </w:tabs>
        <w:ind w:left="1416" w:hanging="696"/>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nsid w:val="0F0A27A2"/>
    <w:multiLevelType w:val="hybridMultilevel"/>
    <w:tmpl w:val="94388B56"/>
    <w:lvl w:ilvl="0" w:tplc="31364DBC">
      <w:numFmt w:val="bullet"/>
      <w:lvlText w:val="-"/>
      <w:lvlJc w:val="left"/>
      <w:pPr>
        <w:tabs>
          <w:tab w:val="num" w:pos="1260"/>
        </w:tabs>
        <w:ind w:left="1260" w:hanging="360"/>
      </w:pPr>
      <w:rPr>
        <w:rFonts w:ascii="Times New Roman" w:eastAsia="Times New Roman" w:hAnsi="Times New Roman" w:cs="Times New Roman" w:hint="default"/>
      </w:rPr>
    </w:lvl>
    <w:lvl w:ilvl="1" w:tplc="04070003">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5">
    <w:nsid w:val="194E0CF2"/>
    <w:multiLevelType w:val="hybridMultilevel"/>
    <w:tmpl w:val="DC983600"/>
    <w:lvl w:ilvl="0" w:tplc="04070015">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AC35882"/>
    <w:multiLevelType w:val="hybridMultilevel"/>
    <w:tmpl w:val="EA8ED5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AE57BE3"/>
    <w:multiLevelType w:val="hybridMultilevel"/>
    <w:tmpl w:val="794862B2"/>
    <w:lvl w:ilvl="0" w:tplc="94C4CB28">
      <w:start w:val="2"/>
      <w:numFmt w:val="lowerLetter"/>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8">
    <w:nsid w:val="24290010"/>
    <w:multiLevelType w:val="hybridMultilevel"/>
    <w:tmpl w:val="233645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F551C80"/>
    <w:multiLevelType w:val="hybridMultilevel"/>
    <w:tmpl w:val="1B58405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nsid w:val="32C91130"/>
    <w:multiLevelType w:val="hybridMultilevel"/>
    <w:tmpl w:val="7ED63ECC"/>
    <w:lvl w:ilvl="0" w:tplc="F8E4FBE0">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1">
    <w:nsid w:val="397D32DF"/>
    <w:multiLevelType w:val="hybridMultilevel"/>
    <w:tmpl w:val="937ED65E"/>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nsid w:val="3D1B7C14"/>
    <w:multiLevelType w:val="hybridMultilevel"/>
    <w:tmpl w:val="C786FBE8"/>
    <w:lvl w:ilvl="0" w:tplc="2C041F46">
      <w:start w:val="1"/>
      <w:numFmt w:val="bullet"/>
      <w:lvlText w:val="-"/>
      <w:lvlJc w:val="left"/>
      <w:pPr>
        <w:ind w:left="1146" w:hanging="360"/>
      </w:pPr>
      <w:rPr>
        <w:rFonts w:ascii="Times New Roman" w:eastAsia="Batang"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3">
    <w:nsid w:val="444552ED"/>
    <w:multiLevelType w:val="hybridMultilevel"/>
    <w:tmpl w:val="4B1617A8"/>
    <w:lvl w:ilvl="0" w:tplc="6DF25768">
      <w:start w:val="4"/>
      <w:numFmt w:val="bullet"/>
      <w:lvlText w:val="-"/>
      <w:lvlJc w:val="left"/>
      <w:pPr>
        <w:tabs>
          <w:tab w:val="num" w:pos="2124"/>
        </w:tabs>
        <w:ind w:left="2124" w:hanging="696"/>
      </w:pPr>
      <w:rPr>
        <w:rFonts w:ascii="Arial" w:eastAsia="Times New Roman" w:hAnsi="Arial" w:cs="Aria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4">
    <w:nsid w:val="4D102C6F"/>
    <w:multiLevelType w:val="hybridMultilevel"/>
    <w:tmpl w:val="BCDCEA0C"/>
    <w:lvl w:ilvl="0" w:tplc="6DF25768">
      <w:start w:val="4"/>
      <w:numFmt w:val="bullet"/>
      <w:lvlText w:val="-"/>
      <w:lvlJc w:val="left"/>
      <w:pPr>
        <w:tabs>
          <w:tab w:val="num" w:pos="2136"/>
        </w:tabs>
        <w:ind w:left="2136" w:hanging="696"/>
      </w:pPr>
      <w:rPr>
        <w:rFonts w:ascii="Arial" w:eastAsia="Times New Roman" w:hAnsi="Arial" w:cs="Aria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5">
    <w:nsid w:val="631C761F"/>
    <w:multiLevelType w:val="hybridMultilevel"/>
    <w:tmpl w:val="43125F0A"/>
    <w:lvl w:ilvl="0" w:tplc="47DC1AE0">
      <w:start w:val="1"/>
      <w:numFmt w:val="lowerLetter"/>
      <w:lvlText w:val="(%1)"/>
      <w:lvlJc w:val="left"/>
      <w:pPr>
        <w:tabs>
          <w:tab w:val="num" w:pos="1416"/>
        </w:tabs>
        <w:ind w:left="1416" w:hanging="708"/>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6">
    <w:nsid w:val="745E0381"/>
    <w:multiLevelType w:val="hybridMultilevel"/>
    <w:tmpl w:val="5B3A182C"/>
    <w:lvl w:ilvl="0" w:tplc="64EA0216">
      <w:start w:val="1"/>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94F1994"/>
    <w:multiLevelType w:val="hybridMultilevel"/>
    <w:tmpl w:val="EC9A5B3C"/>
    <w:lvl w:ilvl="0" w:tplc="47DC1AE0">
      <w:start w:val="1"/>
      <w:numFmt w:val="lowerLetter"/>
      <w:lvlText w:val="(%1)"/>
      <w:lvlJc w:val="left"/>
      <w:pPr>
        <w:tabs>
          <w:tab w:val="num" w:pos="2124"/>
        </w:tabs>
        <w:ind w:left="2124" w:hanging="708"/>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num w:numId="1">
    <w:abstractNumId w:val="6"/>
  </w:num>
  <w:num w:numId="2">
    <w:abstractNumId w:val="4"/>
  </w:num>
  <w:num w:numId="3">
    <w:abstractNumId w:val="8"/>
  </w:num>
  <w:num w:numId="4">
    <w:abstractNumId w:val="15"/>
  </w:num>
  <w:num w:numId="5">
    <w:abstractNumId w:val="11"/>
  </w:num>
  <w:num w:numId="6">
    <w:abstractNumId w:val="9"/>
  </w:num>
  <w:num w:numId="7">
    <w:abstractNumId w:val="2"/>
  </w:num>
  <w:num w:numId="8">
    <w:abstractNumId w:val="3"/>
  </w:num>
  <w:num w:numId="9">
    <w:abstractNumId w:val="17"/>
  </w:num>
  <w:num w:numId="10">
    <w:abstractNumId w:val="13"/>
  </w:num>
  <w:num w:numId="11">
    <w:abstractNumId w:val="1"/>
  </w:num>
  <w:num w:numId="12">
    <w:abstractNumId w:val="10"/>
  </w:num>
  <w:num w:numId="13">
    <w:abstractNumId w:val="14"/>
  </w:num>
  <w:num w:numId="14">
    <w:abstractNumId w:val="7"/>
  </w:num>
  <w:num w:numId="15">
    <w:abstractNumId w:val="5"/>
  </w:num>
  <w:num w:numId="16">
    <w:abstractNumId w:val="0"/>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mailMerge>
    <w:mainDocumentType w:val="formLetters"/>
    <w:dataType w:val="textFile"/>
    <w:activeRecord w:val="-1"/>
    <w:odso/>
  </w:mailMerge>
  <w:defaultTabStop w:val="708"/>
  <w:hyphenationZone w:val="425"/>
  <w:drawingGridHorizontalSpacing w:val="120"/>
  <w:displayHorizontalDrawingGridEvery w:val="2"/>
  <w:displayVerticalDrawingGridEvery w:val="2"/>
  <w:noPunctuationKerning/>
  <w:characterSpacingControl w:val="doNotCompress"/>
  <w:compat/>
  <w:rsids>
    <w:rsidRoot w:val="00ED557F"/>
    <w:rsid w:val="0003634F"/>
    <w:rsid w:val="000439AF"/>
    <w:rsid w:val="0009215A"/>
    <w:rsid w:val="000D1C2A"/>
    <w:rsid w:val="00162C04"/>
    <w:rsid w:val="001A1B28"/>
    <w:rsid w:val="001B2497"/>
    <w:rsid w:val="001E72F9"/>
    <w:rsid w:val="0022531E"/>
    <w:rsid w:val="002627A6"/>
    <w:rsid w:val="00271BD0"/>
    <w:rsid w:val="0028409C"/>
    <w:rsid w:val="00285B43"/>
    <w:rsid w:val="002A15D1"/>
    <w:rsid w:val="002D10B3"/>
    <w:rsid w:val="002D74E7"/>
    <w:rsid w:val="002E6839"/>
    <w:rsid w:val="002E69E3"/>
    <w:rsid w:val="002F5DCA"/>
    <w:rsid w:val="003014C6"/>
    <w:rsid w:val="00323C30"/>
    <w:rsid w:val="003410C3"/>
    <w:rsid w:val="003D0F4E"/>
    <w:rsid w:val="003E315D"/>
    <w:rsid w:val="00483E0C"/>
    <w:rsid w:val="00512CDD"/>
    <w:rsid w:val="00540EE6"/>
    <w:rsid w:val="0054635E"/>
    <w:rsid w:val="005918F2"/>
    <w:rsid w:val="00591A7D"/>
    <w:rsid w:val="005C4EBF"/>
    <w:rsid w:val="00623C52"/>
    <w:rsid w:val="00643AEA"/>
    <w:rsid w:val="00645E6A"/>
    <w:rsid w:val="00655230"/>
    <w:rsid w:val="00675D37"/>
    <w:rsid w:val="006A5869"/>
    <w:rsid w:val="006F4F3A"/>
    <w:rsid w:val="006F7A8C"/>
    <w:rsid w:val="00741FD2"/>
    <w:rsid w:val="00751575"/>
    <w:rsid w:val="007B6062"/>
    <w:rsid w:val="00801285"/>
    <w:rsid w:val="00806E1A"/>
    <w:rsid w:val="00823E68"/>
    <w:rsid w:val="00852840"/>
    <w:rsid w:val="00890342"/>
    <w:rsid w:val="009062B4"/>
    <w:rsid w:val="00933BC7"/>
    <w:rsid w:val="009440FC"/>
    <w:rsid w:val="00947511"/>
    <w:rsid w:val="00973E1A"/>
    <w:rsid w:val="009F52F9"/>
    <w:rsid w:val="00B106A8"/>
    <w:rsid w:val="00B57332"/>
    <w:rsid w:val="00B60A12"/>
    <w:rsid w:val="00B84E5B"/>
    <w:rsid w:val="00BF3EDE"/>
    <w:rsid w:val="00C06223"/>
    <w:rsid w:val="00C06CE7"/>
    <w:rsid w:val="00C35ED2"/>
    <w:rsid w:val="00C93119"/>
    <w:rsid w:val="00C93F07"/>
    <w:rsid w:val="00DB29F6"/>
    <w:rsid w:val="00DD46A8"/>
    <w:rsid w:val="00DF3B2A"/>
    <w:rsid w:val="00DF3E94"/>
    <w:rsid w:val="00E23B0D"/>
    <w:rsid w:val="00E313EE"/>
    <w:rsid w:val="00E45D4C"/>
    <w:rsid w:val="00E8646D"/>
    <w:rsid w:val="00EB1922"/>
    <w:rsid w:val="00ED141E"/>
    <w:rsid w:val="00ED557F"/>
    <w:rsid w:val="00ED7416"/>
    <w:rsid w:val="00EF2C3B"/>
    <w:rsid w:val="00F82ABD"/>
    <w:rsid w:val="00F94847"/>
    <w:rsid w:val="00FA0742"/>
    <w:rsid w:val="00FB3966"/>
    <w:rsid w:val="00FC43F9"/>
    <w:rsid w:val="00FD4F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9215A"/>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rsid w:val="000D1C2A"/>
    <w:pPr>
      <w:autoSpaceDE w:val="0"/>
      <w:autoSpaceDN w:val="0"/>
      <w:adjustRightInd w:val="0"/>
      <w:ind w:left="540" w:hanging="540"/>
      <w:jc w:val="both"/>
    </w:pPr>
    <w:rPr>
      <w:rFonts w:ascii="Times New Roman" w:hAnsi="Times New Roman"/>
      <w:sz w:val="22"/>
      <w:szCs w:val="22"/>
      <w:lang w:val="en-GB" w:eastAsia="fr-FR"/>
    </w:rPr>
  </w:style>
  <w:style w:type="paragraph" w:customStyle="1" w:styleId="SingleTxtG">
    <w:name w:val="_ Single Txt_G"/>
    <w:basedOn w:val="Standard"/>
    <w:link w:val="SingleTxtGChar"/>
    <w:rsid w:val="002A15D1"/>
    <w:pPr>
      <w:suppressAutoHyphens/>
      <w:spacing w:after="120" w:line="240" w:lineRule="atLeast"/>
      <w:ind w:left="1134" w:right="1134"/>
      <w:jc w:val="both"/>
    </w:pPr>
    <w:rPr>
      <w:rFonts w:ascii="Times New Roman" w:hAnsi="Times New Roman"/>
      <w:sz w:val="20"/>
      <w:szCs w:val="20"/>
      <w:lang w:val="en-GB" w:eastAsia="en-US"/>
    </w:rPr>
  </w:style>
  <w:style w:type="character" w:customStyle="1" w:styleId="SingleTxtGChar">
    <w:name w:val="_ Single Txt_G Char"/>
    <w:basedOn w:val="Absatz-Standardschriftart"/>
    <w:link w:val="SingleTxtG"/>
    <w:rsid w:val="002A15D1"/>
    <w:rPr>
      <w:lang w:val="en-GB" w:eastAsia="en-US" w:bidi="ar-SA"/>
    </w:rPr>
  </w:style>
  <w:style w:type="paragraph" w:customStyle="1" w:styleId="Formatvorlage">
    <w:name w:val="Formatvorlage"/>
    <w:rsid w:val="009440FC"/>
    <w:pPr>
      <w:widowControl w:val="0"/>
      <w:autoSpaceDE w:val="0"/>
      <w:autoSpaceDN w:val="0"/>
      <w:adjustRightInd w:val="0"/>
    </w:pPr>
    <w:rPr>
      <w:rFonts w:ascii="Arial" w:hAnsi="Arial" w:cs="Arial"/>
      <w:sz w:val="24"/>
      <w:szCs w:val="24"/>
    </w:rPr>
  </w:style>
  <w:style w:type="paragraph" w:styleId="Sprechblasentext">
    <w:name w:val="Balloon Text"/>
    <w:basedOn w:val="Standard"/>
    <w:link w:val="SprechblasentextZchn"/>
    <w:rsid w:val="00C35ED2"/>
    <w:rPr>
      <w:rFonts w:ascii="Tahoma" w:hAnsi="Tahoma" w:cs="Tahoma"/>
      <w:sz w:val="16"/>
      <w:szCs w:val="16"/>
    </w:rPr>
  </w:style>
  <w:style w:type="character" w:customStyle="1" w:styleId="SprechblasentextZchn">
    <w:name w:val="Sprechblasentext Zchn"/>
    <w:basedOn w:val="Absatz-Standardschriftart"/>
    <w:link w:val="Sprechblasentext"/>
    <w:rsid w:val="00C35ED2"/>
    <w:rPr>
      <w:rFonts w:ascii="Tahoma" w:hAnsi="Tahoma" w:cs="Tahoma"/>
      <w:sz w:val="16"/>
      <w:szCs w:val="16"/>
    </w:rPr>
  </w:style>
  <w:style w:type="character" w:styleId="Hyperlink">
    <w:name w:val="Hyperlink"/>
    <w:basedOn w:val="Absatz-Standardschriftart"/>
    <w:rsid w:val="00E864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9215A"/>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rsid w:val="000D1C2A"/>
    <w:pPr>
      <w:autoSpaceDE w:val="0"/>
      <w:autoSpaceDN w:val="0"/>
      <w:adjustRightInd w:val="0"/>
      <w:ind w:left="540" w:hanging="540"/>
      <w:jc w:val="both"/>
    </w:pPr>
    <w:rPr>
      <w:rFonts w:ascii="Times New Roman" w:hAnsi="Times New Roman"/>
      <w:sz w:val="22"/>
      <w:szCs w:val="22"/>
      <w:lang w:val="en-GB" w:eastAsia="fr-FR"/>
    </w:rPr>
  </w:style>
  <w:style w:type="paragraph" w:customStyle="1" w:styleId="SingleTxtG">
    <w:name w:val="_ Single Txt_G"/>
    <w:basedOn w:val="Standard"/>
    <w:link w:val="SingleTxtGChar"/>
    <w:rsid w:val="002A15D1"/>
    <w:pPr>
      <w:suppressAutoHyphens/>
      <w:spacing w:after="120" w:line="240" w:lineRule="atLeast"/>
      <w:ind w:left="1134" w:right="1134"/>
      <w:jc w:val="both"/>
    </w:pPr>
    <w:rPr>
      <w:rFonts w:ascii="Times New Roman" w:hAnsi="Times New Roman"/>
      <w:sz w:val="20"/>
      <w:szCs w:val="20"/>
      <w:lang w:val="en-GB" w:eastAsia="en-US"/>
    </w:rPr>
  </w:style>
  <w:style w:type="character" w:customStyle="1" w:styleId="SingleTxtGChar">
    <w:name w:val="_ Single Txt_G Char"/>
    <w:basedOn w:val="Absatz-Standardschriftart"/>
    <w:link w:val="SingleTxtG"/>
    <w:rsid w:val="002A15D1"/>
    <w:rPr>
      <w:lang w:val="en-GB" w:eastAsia="en-US" w:bidi="ar-SA"/>
    </w:rPr>
  </w:style>
  <w:style w:type="paragraph" w:customStyle="1" w:styleId="Formatvorlage">
    <w:name w:val="Formatvorlage"/>
    <w:rsid w:val="009440FC"/>
    <w:pPr>
      <w:widowControl w:val="0"/>
      <w:autoSpaceDE w:val="0"/>
      <w:autoSpaceDN w:val="0"/>
      <w:adjustRightInd w:val="0"/>
    </w:pPr>
    <w:rPr>
      <w:rFonts w:ascii="Arial" w:hAnsi="Arial" w:cs="Arial"/>
      <w:sz w:val="24"/>
      <w:szCs w:val="24"/>
    </w:rPr>
  </w:style>
  <w:style w:type="paragraph" w:styleId="Sprechblasentext">
    <w:name w:val="Balloon Text"/>
    <w:basedOn w:val="Standard"/>
    <w:link w:val="SprechblasentextZchn"/>
    <w:rsid w:val="00C35ED2"/>
    <w:rPr>
      <w:rFonts w:ascii="Tahoma" w:hAnsi="Tahoma" w:cs="Tahoma"/>
      <w:sz w:val="16"/>
      <w:szCs w:val="16"/>
    </w:rPr>
  </w:style>
  <w:style w:type="character" w:customStyle="1" w:styleId="SprechblasentextZchn">
    <w:name w:val="Sprechblasentext Zchn"/>
    <w:basedOn w:val="Absatz-Standardschriftart"/>
    <w:link w:val="Sprechblasentext"/>
    <w:rsid w:val="00C35ED2"/>
    <w:rPr>
      <w:rFonts w:ascii="Tahoma" w:hAnsi="Tahoma" w:cs="Tahoma"/>
      <w:sz w:val="16"/>
      <w:szCs w:val="16"/>
    </w:rPr>
  </w:style>
  <w:style w:type="character" w:styleId="Hyperlink">
    <w:name w:val="Hyperlink"/>
    <w:basedOn w:val="Absatz-Standardschriftart"/>
    <w:rsid w:val="00E8646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2292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BMVBW</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Guettes</dc:creator>
  <cp:lastModifiedBy>gebh12</cp:lastModifiedBy>
  <cp:revision>2</cp:revision>
  <cp:lastPrinted>2012-07-17T05:56:00Z</cp:lastPrinted>
  <dcterms:created xsi:type="dcterms:W3CDTF">2012-07-17T11:55:00Z</dcterms:created>
  <dcterms:modified xsi:type="dcterms:W3CDTF">2012-07-17T11:55:00Z</dcterms:modified>
</cp:coreProperties>
</file>